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080" w:rsidRPr="00592080" w:rsidRDefault="00C75BFF" w:rsidP="00CA6586">
      <w:pPr>
        <w:jc w:val="right"/>
      </w:pPr>
      <w:r>
        <w:t>19 November</w:t>
      </w:r>
      <w:r w:rsidR="00823C96">
        <w:t xml:space="preserve"> 2018</w:t>
      </w:r>
    </w:p>
    <w:p w:rsidR="00C75BFF" w:rsidRPr="00582BA4" w:rsidRDefault="00C75BFF" w:rsidP="00C75BFF">
      <w:pPr>
        <w:spacing w:after="600"/>
        <w:jc w:val="center"/>
        <w:rPr>
          <w:b/>
          <w:sz w:val="32"/>
          <w:szCs w:val="32"/>
        </w:rPr>
      </w:pPr>
      <w:r>
        <w:rPr>
          <w:b/>
          <w:sz w:val="32"/>
          <w:szCs w:val="32"/>
        </w:rPr>
        <w:t xml:space="preserve">Second </w:t>
      </w:r>
      <w:r w:rsidRPr="00582BA4">
        <w:rPr>
          <w:b/>
          <w:sz w:val="32"/>
          <w:szCs w:val="32"/>
        </w:rPr>
        <w:t xml:space="preserve">Consultation Document on </w:t>
      </w:r>
      <w:r>
        <w:rPr>
          <w:b/>
          <w:sz w:val="32"/>
          <w:szCs w:val="32"/>
        </w:rPr>
        <w:t>Fund relationships</w:t>
      </w:r>
      <w:r w:rsidRPr="00582BA4">
        <w:rPr>
          <w:b/>
          <w:sz w:val="32"/>
          <w:szCs w:val="32"/>
        </w:rPr>
        <w:t xml:space="preserve"> </w:t>
      </w:r>
      <w:r>
        <w:rPr>
          <w:b/>
          <w:sz w:val="32"/>
          <w:szCs w:val="32"/>
        </w:rPr>
        <w:br/>
      </w:r>
      <w:r w:rsidRPr="00582BA4">
        <w:rPr>
          <w:b/>
          <w:sz w:val="32"/>
          <w:szCs w:val="32"/>
        </w:rPr>
        <w:t>in the Global LEI System</w:t>
      </w:r>
    </w:p>
    <w:p w:rsidR="00C75BFF" w:rsidRPr="00582BA4" w:rsidRDefault="00C75BFF" w:rsidP="00C75BFF">
      <w:pPr>
        <w:jc w:val="center"/>
        <w:rPr>
          <w:b/>
          <w:sz w:val="28"/>
          <w:szCs w:val="28"/>
        </w:rPr>
      </w:pPr>
      <w:r>
        <w:rPr>
          <w:b/>
          <w:sz w:val="28"/>
          <w:szCs w:val="28"/>
        </w:rPr>
        <w:t xml:space="preserve">Annex </w:t>
      </w:r>
      <w:r w:rsidR="00890652">
        <w:rPr>
          <w:b/>
          <w:sz w:val="28"/>
          <w:szCs w:val="28"/>
        </w:rPr>
        <w:t>4</w:t>
      </w:r>
      <w:bookmarkStart w:id="0" w:name="_GoBack"/>
      <w:bookmarkEnd w:id="0"/>
      <w:r w:rsidRPr="00582BA4">
        <w:rPr>
          <w:b/>
          <w:sz w:val="28"/>
          <w:szCs w:val="28"/>
        </w:rPr>
        <w:t>:  Questionnaire for the public</w:t>
      </w:r>
    </w:p>
    <w:p w:rsidR="00C75BFF" w:rsidRPr="000E4EA3" w:rsidRDefault="00C75BFF" w:rsidP="00C75BFF">
      <w:pPr>
        <w:autoSpaceDE w:val="0"/>
        <w:autoSpaceDN w:val="0"/>
        <w:adjustRightInd w:val="0"/>
        <w:spacing w:after="0" w:line="240" w:lineRule="auto"/>
      </w:pPr>
    </w:p>
    <w:p w:rsidR="00C75BFF" w:rsidRPr="00582BA4" w:rsidRDefault="00C75BFF" w:rsidP="00C75BFF">
      <w:pPr>
        <w:keepNext/>
        <w:spacing w:after="160"/>
        <w:outlineLvl w:val="0"/>
        <w:rPr>
          <w:bCs/>
          <w:szCs w:val="24"/>
          <w:highlight w:val="yellow"/>
        </w:rPr>
      </w:pPr>
      <w:r w:rsidRPr="00582BA4">
        <w:rPr>
          <w:bCs/>
          <w:szCs w:val="24"/>
        </w:rPr>
        <w:t xml:space="preserve">Please type your answers into the </w:t>
      </w:r>
      <w:r>
        <w:rPr>
          <w:bCs/>
          <w:szCs w:val="24"/>
        </w:rPr>
        <w:t>present</w:t>
      </w:r>
      <w:r w:rsidRPr="00582BA4">
        <w:rPr>
          <w:bCs/>
          <w:szCs w:val="24"/>
        </w:rPr>
        <w:t xml:space="preserve"> questionnaire and send it to leiroc@bis.org by COB </w:t>
      </w:r>
      <w:r>
        <w:rPr>
          <w:b/>
          <w:bCs/>
          <w:szCs w:val="24"/>
        </w:rPr>
        <w:t>14 January 2019</w:t>
      </w:r>
      <w:r w:rsidRPr="00582BA4">
        <w:rPr>
          <w:bCs/>
          <w:szCs w:val="24"/>
        </w:rPr>
        <w:t>. Where possible, please specify the reasons for the preferences expressed or the details of any trade-offs you see.</w:t>
      </w:r>
      <w:r>
        <w:rPr>
          <w:bCs/>
          <w:szCs w:val="24"/>
        </w:rPr>
        <w:t xml:space="preserve"> </w:t>
      </w:r>
    </w:p>
    <w:p w:rsidR="00C75BFF" w:rsidRPr="00582BA4" w:rsidRDefault="00C75BFF" w:rsidP="00C75BFF">
      <w:pPr>
        <w:rPr>
          <w:szCs w:val="24"/>
        </w:rPr>
      </w:pPr>
      <w:r w:rsidRPr="00582BA4">
        <w:rPr>
          <w:szCs w:val="24"/>
        </w:rPr>
        <w:t xml:space="preserve">The responses to the questionnaire will be shared within the ROC membership and with the GLEIF.  </w:t>
      </w:r>
      <w:r w:rsidRPr="00582BA4">
        <w:rPr>
          <w:b/>
          <w:szCs w:val="24"/>
        </w:rPr>
        <w:t>Unless participants check the box below, responses will also be made public on the LEI ROC website</w:t>
      </w:r>
      <w:r w:rsidRPr="00582BA4">
        <w:rPr>
          <w:szCs w:val="24"/>
        </w:rPr>
        <w:t>.  If participants check the box, neither participants’ identity nor any specifically identified reference to their opinion will be made public without their express consent.  However, the responses themselves may be quoted or aggregated on an anonymised basis.  A standard confidentiality statement in an email message or requests for confidential treatment other than the box below will not be treated as a request for non-disclosure.</w:t>
      </w:r>
    </w:p>
    <w:tbl>
      <w:tblPr>
        <w:tblStyle w:val="TableGrid"/>
        <w:tblW w:w="0" w:type="auto"/>
        <w:tblLook w:val="04A0" w:firstRow="1" w:lastRow="0" w:firstColumn="1" w:lastColumn="0" w:noHBand="0" w:noVBand="1"/>
      </w:tblPr>
      <w:tblGrid>
        <w:gridCol w:w="9016"/>
      </w:tblGrid>
      <w:tr w:rsidR="00C75BFF" w:rsidRPr="00582BA4" w:rsidTr="00C53326">
        <w:tc>
          <w:tcPr>
            <w:tcW w:w="9061" w:type="dxa"/>
            <w:shd w:val="clear" w:color="auto" w:fill="D9D9D9" w:themeFill="background1" w:themeFillShade="D9"/>
          </w:tcPr>
          <w:p w:rsidR="00C75BFF" w:rsidRPr="00582BA4" w:rsidRDefault="00C75BFF" w:rsidP="00C53326">
            <w:pPr>
              <w:rPr>
                <w:b/>
              </w:rPr>
            </w:pPr>
            <w:r w:rsidRPr="00582BA4">
              <w:rPr>
                <w:b/>
              </w:rPr>
              <w:t>Identification of the respondent and confidentiality</w:t>
            </w:r>
          </w:p>
        </w:tc>
      </w:tr>
      <w:tr w:rsidR="00C75BFF" w:rsidRPr="00582BA4" w:rsidTr="00C53326">
        <w:tc>
          <w:tcPr>
            <w:tcW w:w="9061" w:type="dxa"/>
            <w:shd w:val="clear" w:color="auto" w:fill="auto"/>
          </w:tcPr>
          <w:p w:rsidR="00C75BFF" w:rsidRPr="00582BA4" w:rsidRDefault="00C75BFF" w:rsidP="00C53326">
            <w:pPr>
              <w:rPr>
                <w:b/>
              </w:rPr>
            </w:pPr>
            <w:r w:rsidRPr="00582BA4">
              <w:rPr>
                <w:b/>
              </w:rPr>
              <w:t xml:space="preserve">Respondent: </w:t>
            </w:r>
          </w:p>
          <w:p w:rsidR="00C75BFF" w:rsidRPr="00582BA4" w:rsidRDefault="00C75BFF" w:rsidP="00C53326">
            <w:pPr>
              <w:rPr>
                <w:b/>
              </w:rPr>
            </w:pPr>
            <w:r w:rsidRPr="00582BA4">
              <w:rPr>
                <w:b/>
              </w:rPr>
              <w:t>Name and email of a contact person:</w:t>
            </w:r>
          </w:p>
          <w:p w:rsidR="00C75BFF" w:rsidRPr="00247370" w:rsidRDefault="00890652" w:rsidP="00C53326">
            <w:pPr>
              <w:rPr>
                <w:b/>
              </w:rPr>
            </w:pPr>
            <w:sdt>
              <w:sdtPr>
                <w:rPr>
                  <w:b/>
                </w:rPr>
                <w:id w:val="-1985305924"/>
                <w14:checkbox>
                  <w14:checked w14:val="0"/>
                  <w14:checkedState w14:val="2612" w14:font="MS Gothic"/>
                  <w14:uncheckedState w14:val="2610" w14:font="MS Gothic"/>
                </w14:checkbox>
              </w:sdtPr>
              <w:sdtEndPr/>
              <w:sdtContent>
                <w:r w:rsidR="00C75BFF" w:rsidRPr="00247370">
                  <w:rPr>
                    <w:rFonts w:ascii="MS Gothic" w:eastAsia="MS Gothic" w:hAnsi="MS Gothic"/>
                    <w:b/>
                  </w:rPr>
                  <w:t>☐</w:t>
                </w:r>
              </w:sdtContent>
            </w:sdt>
            <w:r w:rsidR="00C75BFF" w:rsidRPr="00247370">
              <w:rPr>
                <w:b/>
              </w:rPr>
              <w:t xml:space="preserve"> Please check this box if you object to the publication of your responses to this questionnaire.</w:t>
            </w:r>
          </w:p>
        </w:tc>
      </w:tr>
      <w:tr w:rsidR="00C75BFF" w:rsidRPr="00582BA4" w:rsidTr="00C53326">
        <w:tc>
          <w:tcPr>
            <w:tcW w:w="9061" w:type="dxa"/>
            <w:shd w:val="clear" w:color="auto" w:fill="auto"/>
          </w:tcPr>
          <w:p w:rsidR="00C75BFF" w:rsidRPr="00AC7DC2" w:rsidRDefault="00C75BFF" w:rsidP="00C53326">
            <w:pPr>
              <w:rPr>
                <w:i/>
                <w:sz w:val="22"/>
              </w:rPr>
            </w:pPr>
            <w:r w:rsidRPr="00AC7DC2">
              <w:rPr>
                <w:i/>
                <w:sz w:val="22"/>
              </w:rPr>
              <w:t>Please specify here as needed if there are specific response(s) that should not be quoted:</w:t>
            </w:r>
          </w:p>
          <w:p w:rsidR="00C75BFF" w:rsidRPr="00AC7DC2" w:rsidRDefault="00C75BFF" w:rsidP="00C53326">
            <w:pPr>
              <w:rPr>
                <w:color w:val="1F497D" w:themeColor="text2"/>
                <w:sz w:val="22"/>
              </w:rPr>
            </w:pPr>
          </w:p>
        </w:tc>
      </w:tr>
      <w:tr w:rsidR="00C75BFF" w:rsidRPr="00582BA4" w:rsidTr="00C53326">
        <w:tc>
          <w:tcPr>
            <w:tcW w:w="9061" w:type="dxa"/>
          </w:tcPr>
          <w:p w:rsidR="00C75BFF" w:rsidRPr="00AC7DC2" w:rsidRDefault="00C75BFF" w:rsidP="00C53326">
            <w:pPr>
              <w:spacing w:after="0"/>
              <w:rPr>
                <w:sz w:val="22"/>
              </w:rPr>
            </w:pPr>
            <w:r w:rsidRPr="00AC7DC2">
              <w:rPr>
                <w:b/>
                <w:sz w:val="22"/>
              </w:rPr>
              <w:t xml:space="preserve">Question 1: </w:t>
            </w:r>
            <w:r w:rsidRPr="000F1326">
              <w:rPr>
                <w:b/>
                <w:i/>
                <w:sz w:val="22"/>
              </w:rPr>
              <w:t>Do you have comments on the revised definitions of a “Fund Management Entity”, “Umbrella Structure” and “Master-Feeder” relationship?</w:t>
            </w:r>
          </w:p>
        </w:tc>
      </w:tr>
      <w:tr w:rsidR="00C75BFF" w:rsidRPr="00582BA4" w:rsidTr="00C53326">
        <w:tc>
          <w:tcPr>
            <w:tcW w:w="9061" w:type="dxa"/>
          </w:tcPr>
          <w:p w:rsidR="00C75BFF" w:rsidRPr="00AC7DC2" w:rsidRDefault="00C75BFF" w:rsidP="00C53326">
            <w:pPr>
              <w:rPr>
                <w:i/>
                <w:sz w:val="22"/>
              </w:rPr>
            </w:pPr>
            <w:r w:rsidRPr="00AC7DC2">
              <w:rPr>
                <w:i/>
                <w:sz w:val="22"/>
              </w:rPr>
              <w:t>Please insert your response here:</w:t>
            </w:r>
          </w:p>
          <w:p w:rsidR="00C75BFF" w:rsidRPr="00AC7DC2" w:rsidRDefault="00C75BFF" w:rsidP="00C53326">
            <w:pPr>
              <w:rPr>
                <w:color w:val="1F497D" w:themeColor="text2"/>
                <w:sz w:val="22"/>
              </w:rPr>
            </w:pPr>
          </w:p>
        </w:tc>
      </w:tr>
      <w:tr w:rsidR="00C75BFF" w:rsidRPr="00582BA4" w:rsidTr="00C53326">
        <w:tc>
          <w:tcPr>
            <w:tcW w:w="9061" w:type="dxa"/>
          </w:tcPr>
          <w:p w:rsidR="00C75BFF" w:rsidRPr="00AC7DC2" w:rsidRDefault="00C75BFF" w:rsidP="00C53326">
            <w:pPr>
              <w:rPr>
                <w:i/>
                <w:sz w:val="22"/>
              </w:rPr>
            </w:pPr>
            <w:r w:rsidRPr="00AC7DC2">
              <w:rPr>
                <w:b/>
                <w:sz w:val="22"/>
              </w:rPr>
              <w:t xml:space="preserve">Question 2:  </w:t>
            </w:r>
            <w:r>
              <w:rPr>
                <w:b/>
                <w:i/>
                <w:sz w:val="22"/>
              </w:rPr>
              <w:t>Should the U</w:t>
            </w:r>
            <w:r w:rsidRPr="000F1326">
              <w:rPr>
                <w:b/>
                <w:i/>
                <w:sz w:val="22"/>
              </w:rPr>
              <w:t>mbrella Structure relationship cover not only series funds (including turnkey funds ) and insurance separate accounts, (to the extent that the sub-structures are eligible for an LEI), but also include funds that are established under a common declaration of trust?</w:t>
            </w:r>
          </w:p>
        </w:tc>
      </w:tr>
      <w:tr w:rsidR="00C75BFF" w:rsidRPr="00582BA4" w:rsidTr="00C53326">
        <w:tc>
          <w:tcPr>
            <w:tcW w:w="9061" w:type="dxa"/>
            <w:tcBorders>
              <w:bottom w:val="single" w:sz="4" w:space="0" w:color="auto"/>
            </w:tcBorders>
          </w:tcPr>
          <w:p w:rsidR="00C75BFF" w:rsidRPr="00AC7DC2" w:rsidRDefault="00C75BFF" w:rsidP="00C53326">
            <w:pPr>
              <w:rPr>
                <w:i/>
                <w:sz w:val="22"/>
              </w:rPr>
            </w:pPr>
            <w:r w:rsidRPr="00AC7DC2">
              <w:rPr>
                <w:i/>
                <w:sz w:val="22"/>
              </w:rPr>
              <w:t>Please insert your response here:</w:t>
            </w:r>
          </w:p>
          <w:p w:rsidR="00C75BFF" w:rsidRPr="00AC7DC2" w:rsidRDefault="00C75BFF" w:rsidP="00C53326">
            <w:pPr>
              <w:rPr>
                <w:color w:val="1F497D" w:themeColor="text2"/>
                <w:sz w:val="22"/>
              </w:rPr>
            </w:pPr>
          </w:p>
        </w:tc>
      </w:tr>
      <w:tr w:rsidR="00C75BFF" w:rsidRPr="00582BA4" w:rsidTr="00C53326">
        <w:tc>
          <w:tcPr>
            <w:tcW w:w="9061" w:type="dxa"/>
          </w:tcPr>
          <w:p w:rsidR="00C75BFF" w:rsidRPr="00AC7DC2" w:rsidRDefault="00C75BFF" w:rsidP="00C53326">
            <w:pPr>
              <w:rPr>
                <w:b/>
                <w:sz w:val="22"/>
              </w:rPr>
            </w:pPr>
            <w:r w:rsidRPr="00AC7DC2">
              <w:rPr>
                <w:b/>
                <w:sz w:val="22"/>
              </w:rPr>
              <w:lastRenderedPageBreak/>
              <w:t xml:space="preserve">Question 3:  </w:t>
            </w:r>
            <w:r w:rsidRPr="000F1326">
              <w:rPr>
                <w:b/>
                <w:i/>
                <w:sz w:val="22"/>
              </w:rPr>
              <w:t xml:space="preserve">What are your views on the requirement to report related entities with an LEI, when entities report a relationship with a Fund Management Entity, an Umbrella Structure, or a Master-Feeder relationship? </w:t>
            </w:r>
            <w:r w:rsidRPr="00AC7DC2">
              <w:rPr>
                <w:b/>
                <w:i/>
                <w:sz w:val="22"/>
              </w:rPr>
              <w:t xml:space="preserve"> </w:t>
            </w:r>
          </w:p>
        </w:tc>
      </w:tr>
      <w:tr w:rsidR="00C75BFF" w:rsidRPr="00582BA4" w:rsidTr="00C53326">
        <w:tc>
          <w:tcPr>
            <w:tcW w:w="9061" w:type="dxa"/>
            <w:tcBorders>
              <w:bottom w:val="single" w:sz="4" w:space="0" w:color="auto"/>
            </w:tcBorders>
          </w:tcPr>
          <w:p w:rsidR="00C75BFF" w:rsidRPr="00AC7DC2" w:rsidRDefault="00C75BFF" w:rsidP="00C53326">
            <w:pPr>
              <w:rPr>
                <w:i/>
                <w:sz w:val="22"/>
              </w:rPr>
            </w:pPr>
            <w:r w:rsidRPr="00AC7DC2">
              <w:rPr>
                <w:i/>
                <w:sz w:val="22"/>
              </w:rPr>
              <w:t>Please insert your response here:</w:t>
            </w:r>
          </w:p>
          <w:p w:rsidR="00C75BFF" w:rsidRPr="00AC7DC2" w:rsidRDefault="00C75BFF" w:rsidP="00C53326">
            <w:pPr>
              <w:rPr>
                <w:color w:val="1F497D" w:themeColor="text2"/>
                <w:sz w:val="22"/>
              </w:rPr>
            </w:pPr>
          </w:p>
        </w:tc>
      </w:tr>
      <w:tr w:rsidR="00C75BFF" w:rsidRPr="00582BA4" w:rsidTr="00C53326">
        <w:tc>
          <w:tcPr>
            <w:tcW w:w="9061" w:type="dxa"/>
            <w:tcBorders>
              <w:bottom w:val="single" w:sz="4" w:space="0" w:color="auto"/>
            </w:tcBorders>
          </w:tcPr>
          <w:p w:rsidR="00C75BFF" w:rsidRPr="00AC7DC2" w:rsidRDefault="00C75BFF" w:rsidP="00C53326">
            <w:pPr>
              <w:rPr>
                <w:b/>
                <w:sz w:val="22"/>
              </w:rPr>
            </w:pPr>
            <w:r w:rsidRPr="00AC7DC2">
              <w:rPr>
                <w:b/>
                <w:sz w:val="22"/>
              </w:rPr>
              <w:t>Question 4:</w:t>
            </w:r>
            <w:r w:rsidRPr="00AC7DC2">
              <w:rPr>
                <w:b/>
                <w:i/>
                <w:sz w:val="22"/>
              </w:rPr>
              <w:t xml:space="preserve"> </w:t>
            </w:r>
            <w:r w:rsidRPr="000F1326">
              <w:rPr>
                <w:b/>
                <w:i/>
                <w:sz w:val="22"/>
              </w:rPr>
              <w:t>Do you have comments on the proposed optional approach for collecting fund relationships? On the exceptions to the optional approach? On the m</w:t>
            </w:r>
            <w:r>
              <w:rPr>
                <w:b/>
                <w:i/>
                <w:sz w:val="22"/>
              </w:rPr>
              <w:t xml:space="preserve">easures to mitigate the </w:t>
            </w:r>
            <w:r w:rsidRPr="000F1326">
              <w:rPr>
                <w:b/>
                <w:i/>
                <w:sz w:val="22"/>
              </w:rPr>
              <w:t>limitations of such an approach?</w:t>
            </w:r>
          </w:p>
        </w:tc>
      </w:tr>
      <w:tr w:rsidR="00C75BFF" w:rsidRPr="00582BA4" w:rsidTr="00C53326">
        <w:tc>
          <w:tcPr>
            <w:tcW w:w="9061" w:type="dxa"/>
            <w:tcBorders>
              <w:bottom w:val="single" w:sz="4" w:space="0" w:color="auto"/>
            </w:tcBorders>
          </w:tcPr>
          <w:p w:rsidR="00C75BFF" w:rsidRPr="00AC7DC2" w:rsidRDefault="00C75BFF" w:rsidP="00C53326">
            <w:pPr>
              <w:rPr>
                <w:i/>
                <w:sz w:val="22"/>
              </w:rPr>
            </w:pPr>
            <w:r w:rsidRPr="00AC7DC2">
              <w:rPr>
                <w:i/>
                <w:sz w:val="22"/>
              </w:rPr>
              <w:t>Please insert your response here:</w:t>
            </w:r>
          </w:p>
          <w:p w:rsidR="00C75BFF" w:rsidRPr="00AC7DC2" w:rsidRDefault="00C75BFF" w:rsidP="00C53326">
            <w:pPr>
              <w:rPr>
                <w:sz w:val="22"/>
              </w:rPr>
            </w:pPr>
          </w:p>
        </w:tc>
      </w:tr>
      <w:tr w:rsidR="00C75BFF" w:rsidRPr="00582BA4" w:rsidTr="00C53326">
        <w:tc>
          <w:tcPr>
            <w:tcW w:w="9061" w:type="dxa"/>
            <w:tcBorders>
              <w:bottom w:val="single" w:sz="4" w:space="0" w:color="auto"/>
            </w:tcBorders>
          </w:tcPr>
          <w:p w:rsidR="00C75BFF" w:rsidRPr="00AC7DC2" w:rsidRDefault="00C75BFF" w:rsidP="00C53326">
            <w:pPr>
              <w:rPr>
                <w:sz w:val="22"/>
              </w:rPr>
            </w:pPr>
            <w:r w:rsidRPr="00AC7DC2">
              <w:rPr>
                <w:b/>
                <w:sz w:val="22"/>
              </w:rPr>
              <w:t xml:space="preserve">Question 5:  </w:t>
            </w:r>
            <w:r w:rsidRPr="000F1326">
              <w:rPr>
                <w:b/>
                <w:i/>
                <w:sz w:val="22"/>
              </w:rPr>
              <w:t>Do you have comments on the proposed level of verification of fund relationships? Are there appropriate sources for verifications in your jurisdiction? Should the LOU verify the statement by an entity that the entity is a fund? If so, how?</w:t>
            </w:r>
          </w:p>
        </w:tc>
      </w:tr>
      <w:tr w:rsidR="00C75BFF" w:rsidRPr="00582BA4" w:rsidTr="00C53326">
        <w:tc>
          <w:tcPr>
            <w:tcW w:w="9061" w:type="dxa"/>
          </w:tcPr>
          <w:p w:rsidR="00C75BFF" w:rsidRPr="00AC7DC2" w:rsidRDefault="00C75BFF" w:rsidP="00C53326">
            <w:pPr>
              <w:rPr>
                <w:i/>
                <w:sz w:val="22"/>
              </w:rPr>
            </w:pPr>
            <w:r w:rsidRPr="00AC7DC2">
              <w:rPr>
                <w:i/>
                <w:sz w:val="22"/>
              </w:rPr>
              <w:t>Please insert your response here:</w:t>
            </w:r>
          </w:p>
          <w:p w:rsidR="00C75BFF" w:rsidRPr="00AC7DC2" w:rsidRDefault="00C75BFF" w:rsidP="00C53326">
            <w:pPr>
              <w:rPr>
                <w:color w:val="1F497D" w:themeColor="text2"/>
                <w:sz w:val="22"/>
              </w:rPr>
            </w:pPr>
          </w:p>
        </w:tc>
      </w:tr>
      <w:tr w:rsidR="00C75BFF" w:rsidRPr="00582BA4" w:rsidTr="00C53326">
        <w:tc>
          <w:tcPr>
            <w:tcW w:w="9061" w:type="dxa"/>
          </w:tcPr>
          <w:p w:rsidR="00C75BFF" w:rsidRPr="00AC7DC2" w:rsidRDefault="00C75BFF" w:rsidP="00C53326">
            <w:pPr>
              <w:rPr>
                <w:sz w:val="22"/>
              </w:rPr>
            </w:pPr>
            <w:r w:rsidRPr="00AC7DC2">
              <w:rPr>
                <w:b/>
                <w:sz w:val="22"/>
              </w:rPr>
              <w:t xml:space="preserve">Question 6:  </w:t>
            </w:r>
            <w:r w:rsidRPr="000F1326">
              <w:rPr>
                <w:b/>
                <w:i/>
                <w:sz w:val="22"/>
              </w:rPr>
              <w:t>Are there any specific consideration that could impact data elements such as, the level of verification; the sources of information; the dates of the relationships?</w:t>
            </w:r>
          </w:p>
        </w:tc>
      </w:tr>
      <w:tr w:rsidR="00C75BFF" w:rsidRPr="00582BA4" w:rsidTr="00C53326">
        <w:tc>
          <w:tcPr>
            <w:tcW w:w="9061" w:type="dxa"/>
          </w:tcPr>
          <w:p w:rsidR="00C75BFF" w:rsidRPr="00AC7DC2" w:rsidRDefault="00C75BFF" w:rsidP="00C53326">
            <w:pPr>
              <w:rPr>
                <w:i/>
                <w:sz w:val="22"/>
              </w:rPr>
            </w:pPr>
            <w:r w:rsidRPr="00AC7DC2">
              <w:rPr>
                <w:i/>
                <w:sz w:val="22"/>
              </w:rPr>
              <w:t>Please insert your response here:</w:t>
            </w:r>
          </w:p>
          <w:p w:rsidR="00C75BFF" w:rsidRPr="00AC7DC2" w:rsidRDefault="00C75BFF" w:rsidP="00C53326">
            <w:pPr>
              <w:rPr>
                <w:color w:val="1F497D" w:themeColor="text2"/>
                <w:sz w:val="22"/>
              </w:rPr>
            </w:pPr>
          </w:p>
        </w:tc>
      </w:tr>
      <w:tr w:rsidR="00C75BFF" w:rsidRPr="00582BA4" w:rsidTr="00C53326">
        <w:tc>
          <w:tcPr>
            <w:tcW w:w="9061" w:type="dxa"/>
          </w:tcPr>
          <w:p w:rsidR="00C75BFF" w:rsidRPr="00C06B5B" w:rsidRDefault="00C75BFF" w:rsidP="00C53326">
            <w:pPr>
              <w:rPr>
                <w:b/>
                <w:sz w:val="22"/>
              </w:rPr>
            </w:pPr>
            <w:r w:rsidRPr="00AC7DC2">
              <w:rPr>
                <w:b/>
                <w:sz w:val="22"/>
              </w:rPr>
              <w:t xml:space="preserve">Question 7:  </w:t>
            </w:r>
            <w:r>
              <w:rPr>
                <w:b/>
                <w:sz w:val="22"/>
              </w:rPr>
              <w:t xml:space="preserve">(on Annex 1, section 1) </w:t>
            </w:r>
            <w:r w:rsidRPr="00C06B5B">
              <w:rPr>
                <w:b/>
                <w:i/>
                <w:sz w:val="22"/>
              </w:rPr>
              <w:t xml:space="preserve">Could there be cases where the legal jurisdiction would be different from the jurisdiction of the registration authority (e.g., a trust organised under UK law but registered in another country). If so, is the correct approach to record as “Legal jurisdiction” the UK, knowing that the jurisdiction of registration could be identified through the </w:t>
            </w:r>
            <w:proofErr w:type="spellStart"/>
            <w:r w:rsidRPr="00C06B5B">
              <w:rPr>
                <w:b/>
                <w:i/>
                <w:sz w:val="22"/>
              </w:rPr>
              <w:t>BusinessRegisterEntityID</w:t>
            </w:r>
            <w:proofErr w:type="spellEnd"/>
            <w:r w:rsidRPr="00C06B5B">
              <w:rPr>
                <w:b/>
                <w:i/>
                <w:sz w:val="22"/>
              </w:rPr>
              <w:t>, given the proposal made in this document?</w:t>
            </w:r>
          </w:p>
          <w:p w:rsidR="00C75BFF" w:rsidRPr="00C06B5B" w:rsidRDefault="00C75BFF" w:rsidP="00C53326">
            <w:pPr>
              <w:rPr>
                <w:b/>
                <w:sz w:val="22"/>
              </w:rPr>
            </w:pPr>
          </w:p>
        </w:tc>
      </w:tr>
      <w:tr w:rsidR="00C75BFF" w:rsidRPr="00582BA4" w:rsidTr="00C53326">
        <w:tc>
          <w:tcPr>
            <w:tcW w:w="9061" w:type="dxa"/>
          </w:tcPr>
          <w:p w:rsidR="00C75BFF" w:rsidRPr="00AC7DC2" w:rsidRDefault="00C75BFF" w:rsidP="00C53326">
            <w:pPr>
              <w:rPr>
                <w:i/>
                <w:sz w:val="22"/>
              </w:rPr>
            </w:pPr>
            <w:r w:rsidRPr="00AC7DC2">
              <w:rPr>
                <w:i/>
                <w:sz w:val="22"/>
              </w:rPr>
              <w:t>Please insert your response here:</w:t>
            </w:r>
          </w:p>
          <w:p w:rsidR="00C75BFF" w:rsidRPr="00AC7DC2" w:rsidRDefault="00C75BFF" w:rsidP="00C53326">
            <w:pPr>
              <w:rPr>
                <w:color w:val="1F497D" w:themeColor="text2"/>
                <w:sz w:val="22"/>
              </w:rPr>
            </w:pPr>
          </w:p>
        </w:tc>
      </w:tr>
      <w:tr w:rsidR="00C75BFF" w:rsidRPr="00582BA4" w:rsidTr="00C53326">
        <w:tc>
          <w:tcPr>
            <w:tcW w:w="9061" w:type="dxa"/>
          </w:tcPr>
          <w:p w:rsidR="00C75BFF" w:rsidRPr="00F50F95" w:rsidRDefault="00C75BFF" w:rsidP="00C53326">
            <w:pPr>
              <w:rPr>
                <w:b/>
                <w:i/>
                <w:sz w:val="22"/>
              </w:rPr>
            </w:pPr>
            <w:r w:rsidRPr="00AC7DC2">
              <w:rPr>
                <w:b/>
                <w:sz w:val="22"/>
              </w:rPr>
              <w:t xml:space="preserve">Question 8:  </w:t>
            </w:r>
            <w:r>
              <w:rPr>
                <w:b/>
                <w:sz w:val="22"/>
              </w:rPr>
              <w:t xml:space="preserve">(on Annex 1, section 2) </w:t>
            </w:r>
            <w:r w:rsidRPr="00F50F95">
              <w:rPr>
                <w:b/>
                <w:i/>
                <w:sz w:val="22"/>
              </w:rPr>
              <w:t>In addition to the mandatory reporting of the Umbrella Structure relationship with the LEI of the umbrella structure, it is proposed that LEI ROC Policy clarify that:</w:t>
            </w:r>
          </w:p>
          <w:p w:rsidR="00C75BFF" w:rsidRPr="00C06B5B" w:rsidRDefault="00C75BFF" w:rsidP="00C75BFF">
            <w:pPr>
              <w:pStyle w:val="ListParagraph"/>
              <w:numPr>
                <w:ilvl w:val="0"/>
                <w:numId w:val="2"/>
              </w:numPr>
              <w:spacing w:before="0" w:beforeAutospacing="0" w:after="120" w:afterAutospacing="0" w:line="300" w:lineRule="exact"/>
              <w:contextualSpacing/>
              <w:jc w:val="both"/>
              <w:rPr>
                <w:b/>
                <w:i/>
                <w:sz w:val="22"/>
              </w:rPr>
            </w:pPr>
            <w:r w:rsidRPr="00C06B5B">
              <w:rPr>
                <w:b/>
                <w:i/>
                <w:sz w:val="22"/>
              </w:rPr>
              <w:t xml:space="preserve">the name of the sub-structure should always include the name of the umbrella structure, possibly recommending to the GLEIF that it should be done in a more systematic, structured and transparent manner; where the relationship with the umbrella structure is recorded in the GLEIS, there should be a data format or process ensuring that the name of the sub-structure is updated without delay when the name of the umbrella structure changes  </w:t>
            </w:r>
          </w:p>
          <w:p w:rsidR="00C75BFF" w:rsidRPr="00C06B5B" w:rsidRDefault="00C75BFF" w:rsidP="00C75BFF">
            <w:pPr>
              <w:pStyle w:val="ListParagraph"/>
              <w:numPr>
                <w:ilvl w:val="0"/>
                <w:numId w:val="2"/>
              </w:numPr>
              <w:spacing w:before="0" w:beforeAutospacing="0" w:after="120" w:afterAutospacing="0" w:line="300" w:lineRule="exact"/>
              <w:contextualSpacing/>
              <w:jc w:val="both"/>
              <w:rPr>
                <w:b/>
                <w:i/>
                <w:sz w:val="22"/>
              </w:rPr>
            </w:pPr>
            <w:r w:rsidRPr="00C06B5B">
              <w:rPr>
                <w:b/>
                <w:i/>
                <w:sz w:val="22"/>
              </w:rPr>
              <w:lastRenderedPageBreak/>
              <w:t>to be able to verify the consistent implementation of the naming convention, the Entity Legal Form (ELF) code list should cover sub-structures. The GLEIF should monitor that the correct name structure “umbrella structure name” + “sub-structure name” is used for ELF codes that correspond to sub-structures that require such a naming convention. Views are sought on whether, for the same ELF code, there could be cases where the naming convention is needed and cases where it is not needed  and whether some flag would be needed (</w:t>
            </w:r>
            <w:proofErr w:type="spellStart"/>
            <w:r w:rsidRPr="00C06B5B">
              <w:rPr>
                <w:b/>
                <w:i/>
                <w:sz w:val="22"/>
              </w:rPr>
              <w:t>e.g</w:t>
            </w:r>
            <w:proofErr w:type="spellEnd"/>
            <w:r w:rsidRPr="00C06B5B">
              <w:rPr>
                <w:b/>
                <w:i/>
                <w:sz w:val="22"/>
              </w:rPr>
              <w:t xml:space="preserve">, in the “entity category” data element). </w:t>
            </w:r>
          </w:p>
          <w:p w:rsidR="00C75BFF" w:rsidRPr="00C06B5B" w:rsidRDefault="00C75BFF" w:rsidP="00C75BFF">
            <w:pPr>
              <w:pStyle w:val="ListParagraph"/>
              <w:numPr>
                <w:ilvl w:val="0"/>
                <w:numId w:val="2"/>
              </w:numPr>
              <w:spacing w:before="0" w:beforeAutospacing="0" w:after="120" w:afterAutospacing="0" w:line="300" w:lineRule="exact"/>
              <w:contextualSpacing/>
              <w:jc w:val="both"/>
              <w:rPr>
                <w:b/>
                <w:i/>
                <w:sz w:val="22"/>
              </w:rPr>
            </w:pPr>
            <w:r w:rsidRPr="00C06B5B">
              <w:rPr>
                <w:b/>
                <w:i/>
                <w:sz w:val="22"/>
              </w:rPr>
              <w:t>when issuing or maintaining the LEI of the sub-structure of an umbrella structure, the LOU should verify that the umbrella structure has a current LEI and the relationship with the umbrella structure is recorded in the LEI system, to make sure that the legal existence and name of the umbrella structure have been verified against the official registration.</w:t>
            </w:r>
          </w:p>
          <w:p w:rsidR="00C75BFF" w:rsidRPr="00C06B5B" w:rsidRDefault="00C75BFF" w:rsidP="00C75BFF">
            <w:pPr>
              <w:pStyle w:val="ListParagraph"/>
              <w:numPr>
                <w:ilvl w:val="0"/>
                <w:numId w:val="2"/>
              </w:numPr>
              <w:spacing w:before="0" w:beforeAutospacing="0" w:after="120" w:afterAutospacing="0" w:line="300" w:lineRule="exact"/>
              <w:contextualSpacing/>
              <w:jc w:val="both"/>
              <w:rPr>
                <w:b/>
                <w:i/>
                <w:sz w:val="22"/>
              </w:rPr>
            </w:pPr>
            <w:r w:rsidRPr="00C06B5B">
              <w:rPr>
                <w:b/>
                <w:i/>
                <w:sz w:val="22"/>
              </w:rPr>
              <w:t>the reference data of the sub-fund have to be registered and validated specifically and separately from the umbrella fund, using a registration or validation authority that mentions the data of the sub-fund.</w:t>
            </w:r>
          </w:p>
          <w:p w:rsidR="00C75BFF" w:rsidRPr="00AC7DC2" w:rsidRDefault="00C75BFF" w:rsidP="00C53326">
            <w:pPr>
              <w:rPr>
                <w:sz w:val="22"/>
              </w:rPr>
            </w:pPr>
            <w:r w:rsidRPr="00F50F95">
              <w:rPr>
                <w:b/>
                <w:i/>
                <w:sz w:val="22"/>
              </w:rPr>
              <w:t>Do respondent to the consultation see issues for market participants and LOU</w:t>
            </w:r>
            <w:r>
              <w:rPr>
                <w:b/>
                <w:i/>
                <w:sz w:val="22"/>
              </w:rPr>
              <w:t>s</w:t>
            </w:r>
            <w:r w:rsidRPr="00F50F95">
              <w:rPr>
                <w:b/>
                <w:i/>
                <w:sz w:val="22"/>
              </w:rPr>
              <w:t xml:space="preserve"> to implement </w:t>
            </w:r>
            <w:r>
              <w:rPr>
                <w:b/>
                <w:i/>
                <w:sz w:val="22"/>
              </w:rPr>
              <w:t>the proposals above</w:t>
            </w:r>
            <w:r w:rsidRPr="00F50F95">
              <w:rPr>
                <w:b/>
                <w:i/>
                <w:sz w:val="22"/>
              </w:rPr>
              <w:t>?</w:t>
            </w:r>
          </w:p>
        </w:tc>
      </w:tr>
      <w:tr w:rsidR="00C75BFF" w:rsidRPr="00582BA4" w:rsidTr="00C53326">
        <w:tc>
          <w:tcPr>
            <w:tcW w:w="9061" w:type="dxa"/>
          </w:tcPr>
          <w:p w:rsidR="00C75BFF" w:rsidRPr="00AC7DC2" w:rsidRDefault="00C75BFF" w:rsidP="00C53326">
            <w:pPr>
              <w:rPr>
                <w:i/>
                <w:sz w:val="22"/>
              </w:rPr>
            </w:pPr>
            <w:r w:rsidRPr="00AC7DC2">
              <w:rPr>
                <w:i/>
                <w:sz w:val="22"/>
              </w:rPr>
              <w:lastRenderedPageBreak/>
              <w:t>Please insert your response here:</w:t>
            </w:r>
          </w:p>
          <w:p w:rsidR="00C75BFF" w:rsidRPr="00AC7DC2" w:rsidRDefault="00C75BFF" w:rsidP="00C53326">
            <w:pPr>
              <w:rPr>
                <w:color w:val="1F497D" w:themeColor="text2"/>
                <w:sz w:val="22"/>
              </w:rPr>
            </w:pPr>
          </w:p>
        </w:tc>
      </w:tr>
      <w:tr w:rsidR="00C75BFF" w:rsidRPr="00582BA4" w:rsidTr="00C53326">
        <w:tc>
          <w:tcPr>
            <w:tcW w:w="9061" w:type="dxa"/>
          </w:tcPr>
          <w:p w:rsidR="00C75BFF" w:rsidRPr="00D54694" w:rsidRDefault="00C75BFF" w:rsidP="00C53326">
            <w:pPr>
              <w:rPr>
                <w:b/>
                <w:i/>
                <w:sz w:val="22"/>
              </w:rPr>
            </w:pPr>
            <w:r w:rsidRPr="00AC7DC2">
              <w:rPr>
                <w:b/>
                <w:sz w:val="22"/>
              </w:rPr>
              <w:t xml:space="preserve">Question 9:  </w:t>
            </w:r>
            <w:r>
              <w:rPr>
                <w:b/>
                <w:sz w:val="22"/>
              </w:rPr>
              <w:t xml:space="preserve">(On Annex 1, section 3) </w:t>
            </w:r>
            <w:r w:rsidRPr="00D54694">
              <w:rPr>
                <w:b/>
                <w:i/>
                <w:sz w:val="22"/>
              </w:rPr>
              <w:t>Questions for consultation are whether:</w:t>
            </w:r>
          </w:p>
          <w:p w:rsidR="00C75BFF" w:rsidRDefault="00C75BFF" w:rsidP="00C75BFF">
            <w:pPr>
              <w:pStyle w:val="ListParagraph"/>
              <w:numPr>
                <w:ilvl w:val="0"/>
                <w:numId w:val="3"/>
              </w:numPr>
              <w:spacing w:before="0" w:beforeAutospacing="0" w:after="120" w:afterAutospacing="0" w:line="300" w:lineRule="exact"/>
              <w:contextualSpacing/>
              <w:jc w:val="both"/>
              <w:rPr>
                <w:b/>
                <w:i/>
                <w:sz w:val="22"/>
              </w:rPr>
            </w:pPr>
            <w:r w:rsidRPr="00C06B5B">
              <w:rPr>
                <w:b/>
                <w:i/>
                <w:sz w:val="22"/>
              </w:rPr>
              <w:t xml:space="preserve">The </w:t>
            </w:r>
            <w:proofErr w:type="spellStart"/>
            <w:r w:rsidRPr="00C06B5B">
              <w:rPr>
                <w:b/>
                <w:i/>
                <w:sz w:val="22"/>
              </w:rPr>
              <w:t>RegistrationAuthority</w:t>
            </w:r>
            <w:proofErr w:type="spellEnd"/>
            <w:r w:rsidRPr="00C06B5B">
              <w:rPr>
                <w:b/>
                <w:i/>
                <w:sz w:val="22"/>
              </w:rPr>
              <w:t xml:space="preserve"> should always be the business registry, when the entity is registered there. The Registration Authority (business registry) is not applicable for non-incorporated funds. In these cases the </w:t>
            </w:r>
            <w:proofErr w:type="spellStart"/>
            <w:r w:rsidRPr="00C06B5B">
              <w:rPr>
                <w:b/>
                <w:i/>
                <w:sz w:val="22"/>
              </w:rPr>
              <w:t>datafield</w:t>
            </w:r>
            <w:proofErr w:type="spellEnd"/>
            <w:r w:rsidRPr="00C06B5B">
              <w:rPr>
                <w:b/>
                <w:i/>
                <w:sz w:val="22"/>
              </w:rPr>
              <w:t xml:space="preserve"> should be filled in with “not applicable” instead of the ID of the supervisory authority (see LEI Common Data File format V.2.1).</w:t>
            </w:r>
          </w:p>
          <w:p w:rsidR="00C75BFF" w:rsidRPr="00C06B5B" w:rsidRDefault="00C75BFF" w:rsidP="00C53326">
            <w:pPr>
              <w:pStyle w:val="ListParagraph"/>
              <w:rPr>
                <w:b/>
                <w:i/>
                <w:sz w:val="22"/>
              </w:rPr>
            </w:pPr>
          </w:p>
          <w:p w:rsidR="00C75BFF" w:rsidRDefault="00C75BFF" w:rsidP="00C75BFF">
            <w:pPr>
              <w:pStyle w:val="ListParagraph"/>
              <w:numPr>
                <w:ilvl w:val="0"/>
                <w:numId w:val="3"/>
              </w:numPr>
              <w:spacing w:before="0" w:beforeAutospacing="0" w:after="120" w:afterAutospacing="0" w:line="300" w:lineRule="exact"/>
              <w:contextualSpacing/>
              <w:jc w:val="both"/>
              <w:rPr>
                <w:b/>
                <w:i/>
                <w:sz w:val="22"/>
              </w:rPr>
            </w:pPr>
            <w:r w:rsidRPr="00C06B5B">
              <w:rPr>
                <w:b/>
                <w:i/>
                <w:sz w:val="22"/>
              </w:rPr>
              <w:t xml:space="preserve">The </w:t>
            </w:r>
            <w:proofErr w:type="spellStart"/>
            <w:r w:rsidRPr="00C06B5B">
              <w:rPr>
                <w:b/>
                <w:i/>
                <w:sz w:val="22"/>
              </w:rPr>
              <w:t>ValidationAuthority</w:t>
            </w:r>
            <w:proofErr w:type="spellEnd"/>
            <w:r w:rsidRPr="00C06B5B">
              <w:rPr>
                <w:b/>
                <w:i/>
                <w:sz w:val="22"/>
              </w:rPr>
              <w:t xml:space="preserve"> for a fund should always be the supervisory authority. </w:t>
            </w:r>
          </w:p>
          <w:p w:rsidR="00C75BFF" w:rsidRPr="00C06B5B" w:rsidRDefault="00C75BFF" w:rsidP="00C53326">
            <w:pPr>
              <w:pStyle w:val="ListParagraph"/>
              <w:rPr>
                <w:b/>
                <w:i/>
                <w:sz w:val="22"/>
              </w:rPr>
            </w:pPr>
          </w:p>
          <w:p w:rsidR="00C75BFF" w:rsidRPr="00C06B5B" w:rsidRDefault="00C75BFF" w:rsidP="00C75BFF">
            <w:pPr>
              <w:pStyle w:val="ListParagraph"/>
              <w:numPr>
                <w:ilvl w:val="0"/>
                <w:numId w:val="3"/>
              </w:numPr>
              <w:spacing w:before="0" w:beforeAutospacing="0" w:after="120" w:afterAutospacing="0" w:line="300" w:lineRule="exact"/>
              <w:contextualSpacing/>
              <w:jc w:val="both"/>
              <w:rPr>
                <w:b/>
                <w:i/>
                <w:sz w:val="22"/>
              </w:rPr>
            </w:pPr>
            <w:r w:rsidRPr="00C06B5B">
              <w:rPr>
                <w:b/>
                <w:i/>
                <w:sz w:val="22"/>
              </w:rPr>
              <w:t xml:space="preserve">The data of a fund should only be declared “fully corroborated” if </w:t>
            </w:r>
          </w:p>
          <w:p w:rsidR="00C75BFF" w:rsidRPr="00D54694" w:rsidRDefault="00C75BFF" w:rsidP="00C53326">
            <w:pPr>
              <w:rPr>
                <w:b/>
                <w:i/>
                <w:sz w:val="22"/>
              </w:rPr>
            </w:pPr>
            <w:r w:rsidRPr="00D54694">
              <w:rPr>
                <w:b/>
                <w:i/>
                <w:sz w:val="22"/>
              </w:rPr>
              <w:t>(1)</w:t>
            </w:r>
            <w:r w:rsidRPr="00D54694">
              <w:rPr>
                <w:b/>
                <w:i/>
                <w:sz w:val="22"/>
              </w:rPr>
              <w:tab/>
              <w:t>the validation authority is the one specialised in funds, and all the data is found in that source or</w:t>
            </w:r>
          </w:p>
          <w:p w:rsidR="00C75BFF" w:rsidRPr="00D54694" w:rsidRDefault="00C75BFF" w:rsidP="00C53326">
            <w:pPr>
              <w:rPr>
                <w:b/>
                <w:i/>
                <w:sz w:val="22"/>
              </w:rPr>
            </w:pPr>
            <w:r w:rsidRPr="00D54694">
              <w:rPr>
                <w:b/>
                <w:i/>
                <w:sz w:val="22"/>
              </w:rPr>
              <w:t>(2)</w:t>
            </w:r>
            <w:r w:rsidRPr="00D54694">
              <w:rPr>
                <w:b/>
                <w:i/>
                <w:sz w:val="22"/>
              </w:rPr>
              <w:tab/>
              <w:t>if criteria (1) is not met, the LOUs should verify that the prospectus (or similar documents) has been approved by supervisory authority and has been published before.</w:t>
            </w:r>
          </w:p>
          <w:p w:rsidR="00C75BFF" w:rsidRDefault="00C75BFF" w:rsidP="00C75BFF">
            <w:pPr>
              <w:pStyle w:val="ListParagraph"/>
              <w:numPr>
                <w:ilvl w:val="0"/>
                <w:numId w:val="4"/>
              </w:numPr>
              <w:spacing w:before="0" w:beforeAutospacing="0" w:after="120" w:afterAutospacing="0" w:line="300" w:lineRule="exact"/>
              <w:contextualSpacing/>
              <w:jc w:val="both"/>
              <w:rPr>
                <w:b/>
                <w:i/>
                <w:sz w:val="22"/>
              </w:rPr>
            </w:pPr>
            <w:r w:rsidRPr="00C06B5B">
              <w:rPr>
                <w:b/>
                <w:i/>
                <w:sz w:val="22"/>
              </w:rPr>
              <w:t>Otherwise in cases where no offic</w:t>
            </w:r>
            <w:r>
              <w:rPr>
                <w:b/>
                <w:i/>
                <w:sz w:val="22"/>
              </w:rPr>
              <w:t>i</w:t>
            </w:r>
            <w:r w:rsidRPr="00C06B5B">
              <w:rPr>
                <w:b/>
                <w:i/>
                <w:sz w:val="22"/>
              </w:rPr>
              <w:t xml:space="preserve">al registry is available, and other documents not meeting the conditions above need to be used, the validation status should be “entity supplied only”. This may happen if an legal entity needs an LEI in its application, before the prospectus is approved. In conformity with the Master Agreement (Appendix 5) which specifies that the contracts that LOUs have with entity should include the “obligation of the Legal Entity to promptly submit any changes regarding any aspect having an actual or potential influence on the LEI and/or LE-RD”, and the GLEIS Governance Principles (FSB Recommendation 18) according to which LOUs have the responsibility “to encourage </w:t>
            </w:r>
            <w:r w:rsidRPr="00C06B5B">
              <w:rPr>
                <w:b/>
                <w:i/>
                <w:sz w:val="22"/>
              </w:rPr>
              <w:lastRenderedPageBreak/>
              <w:t xml:space="preserve">necessary updating”, the LOU should verify, after the customary delay, whether the fund was authorised and registered, so that the reference data can be checked against the official source, and the </w:t>
            </w:r>
            <w:proofErr w:type="spellStart"/>
            <w:r w:rsidRPr="00C06B5B">
              <w:rPr>
                <w:b/>
                <w:i/>
                <w:sz w:val="22"/>
              </w:rPr>
              <w:t>ValidationAuthorityID</w:t>
            </w:r>
            <w:proofErr w:type="spellEnd"/>
            <w:r w:rsidRPr="00C06B5B">
              <w:rPr>
                <w:b/>
                <w:i/>
                <w:sz w:val="22"/>
              </w:rPr>
              <w:t xml:space="preserve"> and </w:t>
            </w:r>
            <w:proofErr w:type="spellStart"/>
            <w:r w:rsidRPr="00C06B5B">
              <w:rPr>
                <w:b/>
                <w:i/>
                <w:sz w:val="22"/>
              </w:rPr>
              <w:t>ValidationAuthorityEntityID</w:t>
            </w:r>
            <w:proofErr w:type="spellEnd"/>
            <w:r w:rsidRPr="00C06B5B">
              <w:rPr>
                <w:b/>
                <w:i/>
                <w:sz w:val="22"/>
              </w:rPr>
              <w:t xml:space="preserve"> can be added. </w:t>
            </w:r>
          </w:p>
          <w:p w:rsidR="00C75BFF" w:rsidRPr="00C06B5B" w:rsidRDefault="00C75BFF" w:rsidP="00C53326">
            <w:pPr>
              <w:pStyle w:val="ListParagraph"/>
              <w:rPr>
                <w:b/>
                <w:i/>
                <w:sz w:val="22"/>
              </w:rPr>
            </w:pPr>
          </w:p>
          <w:p w:rsidR="00C75BFF" w:rsidRPr="00C06B5B" w:rsidRDefault="00C75BFF" w:rsidP="00C75BFF">
            <w:pPr>
              <w:pStyle w:val="ListParagraph"/>
              <w:numPr>
                <w:ilvl w:val="0"/>
                <w:numId w:val="4"/>
              </w:numPr>
              <w:spacing w:before="0" w:beforeAutospacing="0" w:after="120" w:afterAutospacing="0" w:line="300" w:lineRule="exact"/>
              <w:contextualSpacing/>
              <w:jc w:val="both"/>
              <w:rPr>
                <w:b/>
                <w:sz w:val="22"/>
              </w:rPr>
            </w:pPr>
            <w:r w:rsidRPr="00C06B5B">
              <w:rPr>
                <w:b/>
                <w:i/>
                <w:sz w:val="22"/>
              </w:rPr>
              <w:t>Investment fund’s data should only be validated against data published by the home country Registration and/or Validation Authority.</w:t>
            </w:r>
          </w:p>
        </w:tc>
      </w:tr>
      <w:tr w:rsidR="00C75BFF" w:rsidRPr="00582BA4" w:rsidTr="00C53326">
        <w:tc>
          <w:tcPr>
            <w:tcW w:w="9061" w:type="dxa"/>
          </w:tcPr>
          <w:p w:rsidR="00C75BFF" w:rsidRPr="00AC7DC2" w:rsidRDefault="00C75BFF" w:rsidP="00C53326">
            <w:pPr>
              <w:rPr>
                <w:i/>
                <w:sz w:val="22"/>
              </w:rPr>
            </w:pPr>
            <w:r w:rsidRPr="00AC7DC2">
              <w:rPr>
                <w:i/>
                <w:sz w:val="22"/>
              </w:rPr>
              <w:lastRenderedPageBreak/>
              <w:t>Please insert your response here:</w:t>
            </w:r>
          </w:p>
          <w:p w:rsidR="00C75BFF" w:rsidRPr="00AC7DC2" w:rsidRDefault="00C75BFF" w:rsidP="00C53326">
            <w:pPr>
              <w:rPr>
                <w:color w:val="1F497D" w:themeColor="text2"/>
                <w:sz w:val="22"/>
              </w:rPr>
            </w:pPr>
          </w:p>
        </w:tc>
      </w:tr>
      <w:tr w:rsidR="00C75BFF" w:rsidRPr="00582BA4" w:rsidTr="00C53326">
        <w:tc>
          <w:tcPr>
            <w:tcW w:w="9061" w:type="dxa"/>
          </w:tcPr>
          <w:p w:rsidR="00C75BFF" w:rsidRPr="00D54694" w:rsidRDefault="00C75BFF" w:rsidP="00C53326">
            <w:pPr>
              <w:rPr>
                <w:b/>
                <w:sz w:val="22"/>
              </w:rPr>
            </w:pPr>
            <w:r w:rsidRPr="00AC7DC2">
              <w:rPr>
                <w:b/>
                <w:sz w:val="22"/>
              </w:rPr>
              <w:t xml:space="preserve">Question 10:  </w:t>
            </w:r>
            <w:r>
              <w:rPr>
                <w:b/>
                <w:sz w:val="22"/>
              </w:rPr>
              <w:t xml:space="preserve">(On Annex 1 section 4 on Pools of assets) </w:t>
            </w:r>
            <w:r w:rsidRPr="00D54694">
              <w:rPr>
                <w:b/>
                <w:sz w:val="22"/>
              </w:rPr>
              <w:t>Questions for consultation:</w:t>
            </w:r>
          </w:p>
          <w:p w:rsidR="00C75BFF" w:rsidRPr="00C06B5B" w:rsidRDefault="00C75BFF" w:rsidP="00C75BFF">
            <w:pPr>
              <w:pStyle w:val="ListParagraph"/>
              <w:numPr>
                <w:ilvl w:val="0"/>
                <w:numId w:val="5"/>
              </w:numPr>
              <w:spacing w:before="0" w:beforeAutospacing="0" w:after="120" w:afterAutospacing="0" w:line="300" w:lineRule="exact"/>
              <w:contextualSpacing/>
              <w:jc w:val="both"/>
              <w:rPr>
                <w:b/>
                <w:i/>
                <w:sz w:val="22"/>
              </w:rPr>
            </w:pPr>
            <w:r w:rsidRPr="00C06B5B">
              <w:rPr>
                <w:b/>
                <w:i/>
                <w:sz w:val="22"/>
              </w:rPr>
              <w:t xml:space="preserve">whether these pools are acting as counterparties in financial transactions and have to apply for LEIs for reporting purposes. </w:t>
            </w:r>
          </w:p>
          <w:p w:rsidR="00C75BFF" w:rsidRPr="00C06B5B" w:rsidRDefault="00C75BFF" w:rsidP="00C75BFF">
            <w:pPr>
              <w:pStyle w:val="ListParagraph"/>
              <w:numPr>
                <w:ilvl w:val="0"/>
                <w:numId w:val="5"/>
              </w:numPr>
              <w:spacing w:before="0" w:beforeAutospacing="0" w:after="120" w:afterAutospacing="0" w:line="300" w:lineRule="exact"/>
              <w:contextualSpacing/>
              <w:jc w:val="both"/>
              <w:rPr>
                <w:sz w:val="22"/>
              </w:rPr>
            </w:pPr>
            <w:r w:rsidRPr="00C06B5B">
              <w:rPr>
                <w:b/>
                <w:i/>
                <w:sz w:val="22"/>
              </w:rPr>
              <w:t>whether specific measures should be implemented to facilitate their identification, given their “legal names” may be very close to the fund group they belong to: for instance (i) a specific relationship, (ii) a naming convention (e.g. adding "pool" at the end of their Legal Name, as some already do, which however may contradict rules on legal names, and may be duplicative, as there should be other ways to distinguish different legal entities than changing the legal name, for instance distinct registration authority ID, distinct legal forms)</w:t>
            </w:r>
          </w:p>
        </w:tc>
      </w:tr>
      <w:tr w:rsidR="00C75BFF" w:rsidRPr="00582BA4" w:rsidTr="00C53326">
        <w:tc>
          <w:tcPr>
            <w:tcW w:w="9061" w:type="dxa"/>
          </w:tcPr>
          <w:p w:rsidR="00C75BFF" w:rsidRPr="00AC7DC2" w:rsidRDefault="00C75BFF" w:rsidP="00C53326">
            <w:pPr>
              <w:rPr>
                <w:i/>
                <w:sz w:val="22"/>
              </w:rPr>
            </w:pPr>
            <w:r w:rsidRPr="00AC7DC2">
              <w:rPr>
                <w:i/>
                <w:sz w:val="22"/>
              </w:rPr>
              <w:t>Please insert your response here:</w:t>
            </w:r>
          </w:p>
          <w:p w:rsidR="00C75BFF" w:rsidRPr="00AC7DC2" w:rsidRDefault="00C75BFF" w:rsidP="00C53326">
            <w:pPr>
              <w:rPr>
                <w:color w:val="1F497D" w:themeColor="text2"/>
                <w:sz w:val="22"/>
              </w:rPr>
            </w:pPr>
          </w:p>
        </w:tc>
      </w:tr>
    </w:tbl>
    <w:p w:rsidR="00C75BFF" w:rsidRPr="00582BA4" w:rsidRDefault="00C75BFF" w:rsidP="00C75BFF">
      <w:pPr>
        <w:rPr>
          <w:szCs w:val="24"/>
        </w:rPr>
      </w:pPr>
    </w:p>
    <w:p w:rsidR="00C75BFF" w:rsidRPr="00D405B6" w:rsidRDefault="00C75BFF" w:rsidP="00C75BFF"/>
    <w:p w:rsidR="00823C96" w:rsidRDefault="00823C96" w:rsidP="00823C96"/>
    <w:sectPr w:rsidR="00823C96" w:rsidSect="00CA6586">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080" w:rsidRDefault="00592080" w:rsidP="00CA6586">
      <w:r>
        <w:separator/>
      </w:r>
    </w:p>
  </w:endnote>
  <w:endnote w:type="continuationSeparator" w:id="0">
    <w:p w:rsidR="00592080" w:rsidRDefault="00592080" w:rsidP="00CA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080" w:rsidRDefault="00592080" w:rsidP="00CA6586">
      <w:r>
        <w:separator/>
      </w:r>
    </w:p>
  </w:footnote>
  <w:footnote w:type="continuationSeparator" w:id="0">
    <w:p w:rsidR="00592080" w:rsidRDefault="00592080" w:rsidP="00CA6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080" w:rsidRPr="00CA6586" w:rsidRDefault="00592080" w:rsidP="00CA6586">
    <w:pPr>
      <w:jc w:val="right"/>
      <w:rPr>
        <w:b/>
      </w:rPr>
    </w:pPr>
    <w:r w:rsidRPr="00CA6586">
      <w:rPr>
        <w:b/>
      </w:rPr>
      <w:t>Restricted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86" w:rsidRPr="00CA6586" w:rsidRDefault="00CA6586" w:rsidP="00CA6586">
    <w:pPr>
      <w:pBdr>
        <w:top w:val="single" w:sz="4" w:space="1" w:color="auto"/>
        <w:left w:val="single" w:sz="4" w:space="4" w:color="auto"/>
        <w:bottom w:val="single" w:sz="4" w:space="1" w:color="auto"/>
        <w:right w:val="single" w:sz="4" w:space="0" w:color="auto"/>
      </w:pBdr>
      <w:tabs>
        <w:tab w:val="center" w:pos="4513"/>
        <w:tab w:val="right" w:pos="9026"/>
      </w:tabs>
      <w:spacing w:after="0" w:line="240" w:lineRule="auto"/>
      <w:ind w:right="7325"/>
      <w:jc w:val="left"/>
      <w:rPr>
        <w:sz w:val="24"/>
        <w:szCs w:val="24"/>
        <w:lang w:eastAsia="ja-JP"/>
      </w:rPr>
    </w:pPr>
    <w:r w:rsidRPr="00CA6586">
      <w:rPr>
        <w:rFonts w:ascii="Bernard MT Condensed" w:hAnsi="Bernard MT Condensed"/>
        <w:b/>
        <w:color w:val="1F497D" w:themeColor="text2"/>
        <w:sz w:val="56"/>
        <w:szCs w:val="56"/>
        <w:lang w:val="it-CH" w:eastAsia="ja-JP"/>
      </w:rPr>
      <w:t>LEI ROC</w:t>
    </w:r>
  </w:p>
  <w:p w:rsidR="00CA6586" w:rsidRPr="00CA6586" w:rsidRDefault="00CA6586" w:rsidP="00CA6586">
    <w:pPr>
      <w:tabs>
        <w:tab w:val="center" w:pos="4513"/>
        <w:tab w:val="right" w:pos="9026"/>
      </w:tabs>
      <w:spacing w:after="0" w:line="240" w:lineRule="auto"/>
      <w:jc w:val="left"/>
      <w:rPr>
        <w:smallCaps/>
        <w:spacing w:val="20"/>
        <w:sz w:val="20"/>
        <w:szCs w:val="20"/>
      </w:rPr>
    </w:pPr>
    <w:r w:rsidRPr="00CA6586">
      <w:rPr>
        <w:smallCaps/>
        <w:spacing w:val="20"/>
        <w:sz w:val="20"/>
        <w:szCs w:val="20"/>
      </w:rPr>
      <w:t xml:space="preserve"> </w:t>
    </w:r>
  </w:p>
  <w:p w:rsidR="00CA6586" w:rsidRDefault="00CA6586" w:rsidP="00CA658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8ED"/>
    <w:multiLevelType w:val="hybridMultilevel"/>
    <w:tmpl w:val="83CA53D4"/>
    <w:lvl w:ilvl="0" w:tplc="0CA808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20827"/>
    <w:multiLevelType w:val="hybridMultilevel"/>
    <w:tmpl w:val="F0CA2348"/>
    <w:lvl w:ilvl="0" w:tplc="0CA808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C31C8"/>
    <w:multiLevelType w:val="hybridMultilevel"/>
    <w:tmpl w:val="27EE4F7C"/>
    <w:lvl w:ilvl="0" w:tplc="0CA808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B6EBC"/>
    <w:multiLevelType w:val="hybridMultilevel"/>
    <w:tmpl w:val="8FEA6E10"/>
    <w:lvl w:ilvl="0" w:tplc="C7463B6A">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1B52C92"/>
    <w:multiLevelType w:val="hybridMultilevel"/>
    <w:tmpl w:val="0D20F1B8"/>
    <w:lvl w:ilvl="0" w:tplc="0CA808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80"/>
    <w:rsid w:val="003B2FC7"/>
    <w:rsid w:val="00455DAF"/>
    <w:rsid w:val="004E5A37"/>
    <w:rsid w:val="00592080"/>
    <w:rsid w:val="006B1CDD"/>
    <w:rsid w:val="00823C96"/>
    <w:rsid w:val="00890652"/>
    <w:rsid w:val="00C75BFF"/>
    <w:rsid w:val="00CA6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33EB04B-827D-4A9D-9895-01A6E359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586"/>
    <w:pPr>
      <w:spacing w:after="240"/>
      <w:jc w:val="both"/>
    </w:pPr>
    <w:rPr>
      <w:rFonts w:ascii="Times New Roman" w:hAnsi="Times New Roman" w:cs="Times New Roman"/>
    </w:rPr>
  </w:style>
  <w:style w:type="paragraph" w:styleId="Heading1">
    <w:name w:val="heading 1"/>
    <w:basedOn w:val="ListParagraph"/>
    <w:next w:val="Normal"/>
    <w:link w:val="Heading1Char"/>
    <w:uiPriority w:val="9"/>
    <w:qFormat/>
    <w:rsid w:val="00455DAF"/>
    <w:pPr>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080"/>
  </w:style>
  <w:style w:type="paragraph" w:styleId="Footer">
    <w:name w:val="footer"/>
    <w:basedOn w:val="Normal"/>
    <w:link w:val="FooterChar"/>
    <w:uiPriority w:val="99"/>
    <w:unhideWhenUsed/>
    <w:rsid w:val="00592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080"/>
  </w:style>
  <w:style w:type="character" w:customStyle="1" w:styleId="Heading1Char">
    <w:name w:val="Heading 1 Char"/>
    <w:basedOn w:val="DefaultParagraphFont"/>
    <w:link w:val="Heading1"/>
    <w:uiPriority w:val="9"/>
    <w:rsid w:val="00455DAF"/>
    <w:rPr>
      <w:rFonts w:ascii="Times New Roman" w:hAnsi="Times New Roman" w:cs="Times New Roman"/>
      <w:b/>
      <w:sz w:val="24"/>
      <w:szCs w:val="24"/>
      <w:lang w:eastAsia="en-GB"/>
    </w:rPr>
  </w:style>
  <w:style w:type="paragraph" w:styleId="FootnoteText">
    <w:name w:val="footnote text"/>
    <w:basedOn w:val="Normal"/>
    <w:link w:val="FootnoteTextChar"/>
    <w:uiPriority w:val="99"/>
    <w:unhideWhenUsed/>
    <w:rsid w:val="00CA6586"/>
    <w:pPr>
      <w:spacing w:after="0" w:line="240" w:lineRule="auto"/>
    </w:pPr>
    <w:rPr>
      <w:sz w:val="20"/>
      <w:szCs w:val="20"/>
    </w:rPr>
  </w:style>
  <w:style w:type="character" w:customStyle="1" w:styleId="FootnoteTextChar">
    <w:name w:val="Footnote Text Char"/>
    <w:basedOn w:val="DefaultParagraphFont"/>
    <w:link w:val="FootnoteText"/>
    <w:uiPriority w:val="99"/>
    <w:rsid w:val="00CA6586"/>
    <w:rPr>
      <w:sz w:val="20"/>
      <w:szCs w:val="20"/>
    </w:rPr>
  </w:style>
  <w:style w:type="character" w:styleId="FootnoteReference">
    <w:name w:val="footnote reference"/>
    <w:basedOn w:val="DefaultParagraphFont"/>
    <w:uiPriority w:val="99"/>
    <w:semiHidden/>
    <w:unhideWhenUsed/>
    <w:rsid w:val="00CA6586"/>
    <w:rPr>
      <w:vertAlign w:val="superscript"/>
    </w:rPr>
  </w:style>
  <w:style w:type="paragraph" w:styleId="ListParagraph">
    <w:name w:val="List Paragraph"/>
    <w:basedOn w:val="Normal"/>
    <w:uiPriority w:val="34"/>
    <w:qFormat/>
    <w:rsid w:val="00823C96"/>
    <w:pPr>
      <w:spacing w:before="100" w:beforeAutospacing="1" w:after="100" w:afterAutospacing="1" w:line="240" w:lineRule="auto"/>
      <w:jc w:val="left"/>
    </w:pPr>
    <w:rPr>
      <w:sz w:val="24"/>
      <w:szCs w:val="24"/>
      <w:lang w:eastAsia="en-GB"/>
    </w:rPr>
  </w:style>
  <w:style w:type="table" w:styleId="TableGrid">
    <w:name w:val="Table Grid"/>
    <w:basedOn w:val="TableNormal"/>
    <w:rsid w:val="00C75BFF"/>
    <w:pPr>
      <w:spacing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84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25CE6-D93F-4CF7-A345-0874233B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Bank for International Settlements</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Stéphane Mahieu</dc:creator>
  <cp:lastModifiedBy>Stéphane MAHIEU</cp:lastModifiedBy>
  <cp:revision>3</cp:revision>
  <dcterms:created xsi:type="dcterms:W3CDTF">2018-11-19T15:42:00Z</dcterms:created>
  <dcterms:modified xsi:type="dcterms:W3CDTF">2018-11-19T16:10:00Z</dcterms:modified>
</cp:coreProperties>
</file>